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76" w:type="dxa"/>
        <w:tblInd w:w="604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26"/>
        <w:gridCol w:w="5850"/>
      </w:tblGrid>
      <w:tr w:rsidR="00905FB5" w14:paraId="2FAC9C04" w14:textId="77777777" w:rsidTr="004417CC">
        <w:trPr>
          <w:trHeight w:val="227"/>
        </w:trPr>
        <w:tc>
          <w:tcPr>
            <w:tcW w:w="2626" w:type="dxa"/>
          </w:tcPr>
          <w:p w14:paraId="22C63561" w14:textId="77777777" w:rsidR="00905FB5" w:rsidRDefault="00905FB5" w:rsidP="004417CC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Attribut</w:t>
            </w:r>
            <w:proofErr w:type="spellEnd"/>
          </w:p>
        </w:tc>
        <w:tc>
          <w:tcPr>
            <w:tcW w:w="5850" w:type="dxa"/>
          </w:tcPr>
          <w:p w14:paraId="28FA9180" w14:textId="77777777" w:rsidR="00905FB5" w:rsidRDefault="00905FB5" w:rsidP="004417CC">
            <w:pPr>
              <w:jc w:val="center"/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>Keterangan</w:t>
            </w:r>
          </w:p>
        </w:tc>
      </w:tr>
      <w:tr w:rsidR="00905FB5" w14:paraId="622BD9C3" w14:textId="77777777" w:rsidTr="004417CC">
        <w:trPr>
          <w:trHeight w:val="227"/>
        </w:trPr>
        <w:tc>
          <w:tcPr>
            <w:tcW w:w="2626" w:type="dxa"/>
          </w:tcPr>
          <w:p w14:paraId="0BEA07FE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5850" w:type="dxa"/>
          </w:tcPr>
          <w:p w14:paraId="2C415A24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Negara</w:t>
            </w:r>
          </w:p>
        </w:tc>
      </w:tr>
      <w:tr w:rsidR="00905FB5" w14:paraId="2FD4B989" w14:textId="77777777" w:rsidTr="004417CC">
        <w:trPr>
          <w:trHeight w:val="227"/>
        </w:trPr>
        <w:tc>
          <w:tcPr>
            <w:tcW w:w="2626" w:type="dxa"/>
          </w:tcPr>
          <w:p w14:paraId="474E0101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year</w:t>
            </w:r>
            <w:proofErr w:type="spellEnd"/>
          </w:p>
        </w:tc>
        <w:tc>
          <w:tcPr>
            <w:tcW w:w="5850" w:type="dxa"/>
          </w:tcPr>
          <w:p w14:paraId="1689642C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Tahun</w:t>
            </w:r>
          </w:p>
        </w:tc>
      </w:tr>
      <w:tr w:rsidR="00905FB5" w14:paraId="7577BC71" w14:textId="77777777" w:rsidTr="004417CC">
        <w:trPr>
          <w:trHeight w:val="227"/>
        </w:trPr>
        <w:tc>
          <w:tcPr>
            <w:tcW w:w="2626" w:type="dxa"/>
          </w:tcPr>
          <w:p w14:paraId="0EDE9689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5850" w:type="dxa"/>
          </w:tcPr>
          <w:p w14:paraId="0C41D07A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Developed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= Maju </w:t>
            </w:r>
          </w:p>
          <w:p w14:paraId="53E78F77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Developing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= berkembang</w:t>
            </w:r>
          </w:p>
        </w:tc>
      </w:tr>
      <w:tr w:rsidR="00905FB5" w14:paraId="0DEB7D12" w14:textId="77777777" w:rsidTr="004417CC">
        <w:trPr>
          <w:trHeight w:val="227"/>
        </w:trPr>
        <w:tc>
          <w:tcPr>
            <w:tcW w:w="2626" w:type="dxa"/>
          </w:tcPr>
          <w:p w14:paraId="0D8530B1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life_expectancy</w:t>
            </w:r>
            <w:proofErr w:type="spellEnd"/>
          </w:p>
        </w:tc>
        <w:tc>
          <w:tcPr>
            <w:tcW w:w="5850" w:type="dxa"/>
          </w:tcPr>
          <w:p w14:paraId="49A9B0AB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Tingkat harapan hidup (umur)</w:t>
            </w:r>
          </w:p>
        </w:tc>
      </w:tr>
      <w:tr w:rsidR="00905FB5" w14:paraId="2D54611D" w14:textId="77777777" w:rsidTr="004417CC">
        <w:trPr>
          <w:trHeight w:val="227"/>
        </w:trPr>
        <w:tc>
          <w:tcPr>
            <w:tcW w:w="2626" w:type="dxa"/>
          </w:tcPr>
          <w:p w14:paraId="1E29D310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adult_mortality</w:t>
            </w:r>
            <w:proofErr w:type="spellEnd"/>
          </w:p>
        </w:tc>
        <w:tc>
          <w:tcPr>
            <w:tcW w:w="5850" w:type="dxa"/>
          </w:tcPr>
          <w:p w14:paraId="4592D724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Tingkat kematian orang dewasa (umur 15-60 tiap 1000 populasi)</w:t>
            </w:r>
          </w:p>
        </w:tc>
      </w:tr>
      <w:tr w:rsidR="00905FB5" w14:paraId="7C61A8A7" w14:textId="77777777" w:rsidTr="004417CC">
        <w:trPr>
          <w:trHeight w:val="227"/>
        </w:trPr>
        <w:tc>
          <w:tcPr>
            <w:tcW w:w="2626" w:type="dxa"/>
          </w:tcPr>
          <w:p w14:paraId="191E51A1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infant_deaths</w:t>
            </w:r>
            <w:proofErr w:type="spellEnd"/>
          </w:p>
        </w:tc>
        <w:tc>
          <w:tcPr>
            <w:tcW w:w="5850" w:type="dxa"/>
          </w:tcPr>
          <w:p w14:paraId="3B2E5AE4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Jumlah kematian bayi tiap 1000 populasi</w:t>
            </w:r>
          </w:p>
        </w:tc>
      </w:tr>
      <w:tr w:rsidR="00905FB5" w14:paraId="4500AEE5" w14:textId="77777777" w:rsidTr="004417CC">
        <w:trPr>
          <w:trHeight w:val="227"/>
        </w:trPr>
        <w:tc>
          <w:tcPr>
            <w:tcW w:w="2626" w:type="dxa"/>
          </w:tcPr>
          <w:p w14:paraId="499007FA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Alcohol</w:t>
            </w:r>
            <w:proofErr w:type="spellEnd"/>
          </w:p>
        </w:tc>
        <w:tc>
          <w:tcPr>
            <w:tcW w:w="5850" w:type="dxa"/>
          </w:tcPr>
          <w:p w14:paraId="358EDEA8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Konsumsi alkohol per kapita (umur 15+, liter)</w:t>
            </w:r>
          </w:p>
        </w:tc>
      </w:tr>
      <w:tr w:rsidR="00905FB5" w14:paraId="7F18496D" w14:textId="77777777" w:rsidTr="004417CC">
        <w:trPr>
          <w:trHeight w:val="227"/>
        </w:trPr>
        <w:tc>
          <w:tcPr>
            <w:tcW w:w="2626" w:type="dxa"/>
          </w:tcPr>
          <w:p w14:paraId="46425531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percentage_expenditure</w:t>
            </w:r>
            <w:proofErr w:type="spellEnd"/>
          </w:p>
        </w:tc>
        <w:tc>
          <w:tcPr>
            <w:tcW w:w="5850" w:type="dxa"/>
          </w:tcPr>
          <w:p w14:paraId="79CB1602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Persentase pengeluaran untuk kesehatan dari PDB per kapita</w:t>
            </w:r>
          </w:p>
        </w:tc>
      </w:tr>
      <w:tr w:rsidR="00905FB5" w14:paraId="62ADA7F4" w14:textId="77777777" w:rsidTr="004417CC">
        <w:trPr>
          <w:trHeight w:val="227"/>
        </w:trPr>
        <w:tc>
          <w:tcPr>
            <w:tcW w:w="2626" w:type="dxa"/>
          </w:tcPr>
          <w:p w14:paraId="61C5E0CB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HepB</w:t>
            </w:r>
            <w:proofErr w:type="spellEnd"/>
          </w:p>
        </w:tc>
        <w:tc>
          <w:tcPr>
            <w:tcW w:w="5850" w:type="dxa"/>
          </w:tcPr>
          <w:p w14:paraId="7F4DB1DF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Persentase imunisasi Hepatitis B (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HepB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) untuk umur 1 tahun</w:t>
            </w:r>
          </w:p>
        </w:tc>
      </w:tr>
      <w:tr w:rsidR="00905FB5" w14:paraId="75AEA474" w14:textId="77777777" w:rsidTr="004417CC">
        <w:trPr>
          <w:trHeight w:val="227"/>
        </w:trPr>
        <w:tc>
          <w:tcPr>
            <w:tcW w:w="2626" w:type="dxa"/>
          </w:tcPr>
          <w:p w14:paraId="3B1123DE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BMI</w:t>
            </w:r>
          </w:p>
        </w:tc>
        <w:tc>
          <w:tcPr>
            <w:tcW w:w="5850" w:type="dxa"/>
          </w:tcPr>
          <w:p w14:paraId="1B99C887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Rata-rata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Body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Mass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Index seluruh populasi</w:t>
            </w:r>
          </w:p>
        </w:tc>
      </w:tr>
      <w:tr w:rsidR="00905FB5" w14:paraId="393F59EA" w14:textId="77777777" w:rsidTr="004417CC">
        <w:trPr>
          <w:trHeight w:val="227"/>
        </w:trPr>
        <w:tc>
          <w:tcPr>
            <w:tcW w:w="2626" w:type="dxa"/>
          </w:tcPr>
          <w:p w14:paraId="47E7E5EF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Measles</w:t>
            </w:r>
            <w:proofErr w:type="spellEnd"/>
          </w:p>
        </w:tc>
        <w:tc>
          <w:tcPr>
            <w:tcW w:w="5850" w:type="dxa"/>
          </w:tcPr>
          <w:p w14:paraId="266CDBF7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Jumlah kasus campak tiap 1000 populasi</w:t>
            </w:r>
          </w:p>
        </w:tc>
      </w:tr>
      <w:tr w:rsidR="00905FB5" w14:paraId="205867F7" w14:textId="77777777" w:rsidTr="004417CC">
        <w:trPr>
          <w:trHeight w:val="227"/>
        </w:trPr>
        <w:tc>
          <w:tcPr>
            <w:tcW w:w="2626" w:type="dxa"/>
          </w:tcPr>
          <w:p w14:paraId="4E692EEA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u5_deaths</w:t>
            </w:r>
          </w:p>
        </w:tc>
        <w:tc>
          <w:tcPr>
            <w:tcW w:w="5850" w:type="dxa"/>
          </w:tcPr>
          <w:p w14:paraId="343996BC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Jumlah kematian balita tiap 1000 populasi</w:t>
            </w:r>
          </w:p>
        </w:tc>
      </w:tr>
      <w:tr w:rsidR="00905FB5" w14:paraId="53E65C1E" w14:textId="77777777" w:rsidTr="004417CC">
        <w:trPr>
          <w:trHeight w:val="227"/>
        </w:trPr>
        <w:tc>
          <w:tcPr>
            <w:tcW w:w="2626" w:type="dxa"/>
          </w:tcPr>
          <w:p w14:paraId="7A993503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Polio</w:t>
            </w:r>
          </w:p>
        </w:tc>
        <w:tc>
          <w:tcPr>
            <w:tcW w:w="5850" w:type="dxa"/>
          </w:tcPr>
          <w:p w14:paraId="62939C77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Persentase imunisasi Polio (Pol3) untuk umur 1 tahun</w:t>
            </w:r>
          </w:p>
        </w:tc>
      </w:tr>
      <w:tr w:rsidR="00905FB5" w14:paraId="06D575CB" w14:textId="77777777" w:rsidTr="004417CC">
        <w:trPr>
          <w:trHeight w:val="227"/>
        </w:trPr>
        <w:tc>
          <w:tcPr>
            <w:tcW w:w="2626" w:type="dxa"/>
          </w:tcPr>
          <w:p w14:paraId="4768D166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total_expenditure</w:t>
            </w:r>
            <w:proofErr w:type="spellEnd"/>
          </w:p>
        </w:tc>
        <w:tc>
          <w:tcPr>
            <w:tcW w:w="5850" w:type="dxa"/>
          </w:tcPr>
          <w:p w14:paraId="1B36227A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Persentase pengeluaran pemerintah Untuk kesehatan dari total pengeluaran pemerintah (%)</w:t>
            </w:r>
          </w:p>
        </w:tc>
      </w:tr>
      <w:tr w:rsidR="00905FB5" w14:paraId="6ACD0F2A" w14:textId="77777777" w:rsidTr="004417CC">
        <w:trPr>
          <w:trHeight w:val="227"/>
        </w:trPr>
        <w:tc>
          <w:tcPr>
            <w:tcW w:w="2626" w:type="dxa"/>
          </w:tcPr>
          <w:p w14:paraId="4614AD8F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DPT</w:t>
            </w:r>
          </w:p>
        </w:tc>
        <w:tc>
          <w:tcPr>
            <w:tcW w:w="5850" w:type="dxa"/>
          </w:tcPr>
          <w:p w14:paraId="2253255C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Persentase imunisasi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dfiteri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, pertusis, Dan tetanus (DPT3) untuk umur 1 tahun</w:t>
            </w:r>
          </w:p>
        </w:tc>
      </w:tr>
      <w:tr w:rsidR="00905FB5" w14:paraId="1AFC6ADD" w14:textId="77777777" w:rsidTr="004417CC">
        <w:trPr>
          <w:trHeight w:val="227"/>
        </w:trPr>
        <w:tc>
          <w:tcPr>
            <w:tcW w:w="2626" w:type="dxa"/>
          </w:tcPr>
          <w:p w14:paraId="57CBA8CE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HIV_AIDS</w:t>
            </w:r>
          </w:p>
        </w:tc>
        <w:tc>
          <w:tcPr>
            <w:tcW w:w="5850" w:type="dxa"/>
          </w:tcPr>
          <w:p w14:paraId="3B17CC11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Kematian tiap 1000 kelahiran HIV/AIDS (umur 0-4 tahun)</w:t>
            </w:r>
          </w:p>
        </w:tc>
      </w:tr>
      <w:tr w:rsidR="00905FB5" w14:paraId="00DE1707" w14:textId="77777777" w:rsidTr="004417CC">
        <w:trPr>
          <w:trHeight w:val="227"/>
        </w:trPr>
        <w:tc>
          <w:tcPr>
            <w:tcW w:w="2626" w:type="dxa"/>
          </w:tcPr>
          <w:p w14:paraId="609C6D16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GDP</w:t>
            </w:r>
          </w:p>
        </w:tc>
        <w:tc>
          <w:tcPr>
            <w:tcW w:w="5850" w:type="dxa"/>
          </w:tcPr>
          <w:p w14:paraId="6C11C5CC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GDP per kapita (USD)</w:t>
            </w:r>
          </w:p>
        </w:tc>
      </w:tr>
      <w:tr w:rsidR="00905FB5" w14:paraId="126D8044" w14:textId="77777777" w:rsidTr="004417CC">
        <w:trPr>
          <w:trHeight w:val="227"/>
        </w:trPr>
        <w:tc>
          <w:tcPr>
            <w:tcW w:w="2626" w:type="dxa"/>
          </w:tcPr>
          <w:p w14:paraId="63261B04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population</w:t>
            </w:r>
            <w:proofErr w:type="spellEnd"/>
          </w:p>
        </w:tc>
        <w:tc>
          <w:tcPr>
            <w:tcW w:w="5850" w:type="dxa"/>
          </w:tcPr>
          <w:p w14:paraId="47E7607D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Populasi negara</w:t>
            </w:r>
          </w:p>
        </w:tc>
      </w:tr>
      <w:tr w:rsidR="00905FB5" w14:paraId="3E7C93A8" w14:textId="77777777" w:rsidTr="004417CC">
        <w:trPr>
          <w:trHeight w:val="227"/>
        </w:trPr>
        <w:tc>
          <w:tcPr>
            <w:tcW w:w="2626" w:type="dxa"/>
          </w:tcPr>
          <w:p w14:paraId="0DDE76EA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Thinness_10_19</w:t>
            </w:r>
          </w:p>
        </w:tc>
        <w:tc>
          <w:tcPr>
            <w:tcW w:w="5850" w:type="dxa"/>
          </w:tcPr>
          <w:p w14:paraId="2A84AA0E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Persentase kekurusan pada anak 10-19 tahun</w:t>
            </w:r>
          </w:p>
        </w:tc>
      </w:tr>
      <w:tr w:rsidR="00905FB5" w14:paraId="7EF1D232" w14:textId="77777777" w:rsidTr="004417CC">
        <w:trPr>
          <w:trHeight w:val="227"/>
        </w:trPr>
        <w:tc>
          <w:tcPr>
            <w:tcW w:w="2626" w:type="dxa"/>
          </w:tcPr>
          <w:p w14:paraId="4C397331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Thinness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5 9</w:t>
            </w:r>
          </w:p>
        </w:tc>
        <w:tc>
          <w:tcPr>
            <w:tcW w:w="5850" w:type="dxa"/>
          </w:tcPr>
          <w:p w14:paraId="5304EC80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Persentase kekurusan pada anak 5-9 tahun</w:t>
            </w:r>
          </w:p>
        </w:tc>
      </w:tr>
      <w:tr w:rsidR="00905FB5" w14:paraId="7C27DEAE" w14:textId="77777777" w:rsidTr="004417CC">
        <w:trPr>
          <w:trHeight w:val="227"/>
        </w:trPr>
        <w:tc>
          <w:tcPr>
            <w:tcW w:w="2626" w:type="dxa"/>
          </w:tcPr>
          <w:p w14:paraId="1E19D75B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HDI</w:t>
            </w:r>
          </w:p>
        </w:tc>
        <w:tc>
          <w:tcPr>
            <w:tcW w:w="5850" w:type="dxa"/>
          </w:tcPr>
          <w:p w14:paraId="60677607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Indeks Pembangunan Manusia dalam hal Komposisi pendapatan sumber daya (0 sampai 1)</w:t>
            </w:r>
          </w:p>
        </w:tc>
      </w:tr>
      <w:tr w:rsidR="00905FB5" w14:paraId="4ECB788E" w14:textId="77777777" w:rsidTr="004417CC">
        <w:trPr>
          <w:trHeight w:val="227"/>
        </w:trPr>
        <w:tc>
          <w:tcPr>
            <w:tcW w:w="2626" w:type="dxa"/>
          </w:tcPr>
          <w:p w14:paraId="2096A7E2" w14:textId="77777777" w:rsidR="00905FB5" w:rsidRDefault="00905FB5" w:rsidP="004417CC">
            <w:pP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school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year</w:t>
            </w:r>
            <w:proofErr w:type="spellEnd"/>
          </w:p>
        </w:tc>
        <w:tc>
          <w:tcPr>
            <w:tcW w:w="5850" w:type="dxa"/>
          </w:tcPr>
          <w:p w14:paraId="4EB34784" w14:textId="77777777" w:rsidR="00905FB5" w:rsidRDefault="00905FB5" w:rsidP="004417CC">
            <w:pPr>
              <w:keepNext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Jumlah tahun bersekolah</w:t>
            </w:r>
          </w:p>
        </w:tc>
      </w:tr>
    </w:tbl>
    <w:p w14:paraId="2CE6B3A6" w14:textId="77777777" w:rsidR="00862EA3" w:rsidRDefault="00862EA3"/>
    <w:tbl>
      <w:tblPr>
        <w:tblW w:w="5387" w:type="dxa"/>
        <w:tblInd w:w="2129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3119"/>
      </w:tblGrid>
      <w:tr w:rsidR="00905FB5" w14:paraId="0DD6F87A" w14:textId="77777777" w:rsidTr="004417CC">
        <w:trPr>
          <w:trHeight w:val="227"/>
        </w:trPr>
        <w:tc>
          <w:tcPr>
            <w:tcW w:w="2268" w:type="dxa"/>
            <w:tcBorders>
              <w:right w:val="nil"/>
            </w:tcBorders>
            <w:vAlign w:val="center"/>
          </w:tcPr>
          <w:p w14:paraId="3D42D08A" w14:textId="77777777" w:rsidR="00905FB5" w:rsidRDefault="00905FB5" w:rsidP="004417CC">
            <w:pPr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Interval Koefisien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14:paraId="47471AAB" w14:textId="77777777" w:rsidR="00905FB5" w:rsidRDefault="00905FB5" w:rsidP="004417CC">
            <w:pPr>
              <w:ind w:left="284"/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Tingkat Hubungan</w:t>
            </w:r>
          </w:p>
        </w:tc>
      </w:tr>
      <w:tr w:rsidR="00905FB5" w14:paraId="2E425945" w14:textId="77777777" w:rsidTr="004417CC">
        <w:trPr>
          <w:trHeight w:val="283"/>
        </w:trPr>
        <w:tc>
          <w:tcPr>
            <w:tcW w:w="2268" w:type="dxa"/>
            <w:tcBorders>
              <w:right w:val="nil"/>
            </w:tcBorders>
            <w:vAlign w:val="center"/>
          </w:tcPr>
          <w:p w14:paraId="0B071872" w14:textId="77777777" w:rsidR="00905FB5" w:rsidRDefault="00905FB5" w:rsidP="004417CC">
            <w:pPr>
              <w:ind w:left="284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0,00 – 0,199</w:t>
            </w:r>
          </w:p>
        </w:tc>
        <w:tc>
          <w:tcPr>
            <w:tcW w:w="3119" w:type="dxa"/>
            <w:tcBorders>
              <w:left w:val="nil"/>
            </w:tcBorders>
            <w:vAlign w:val="center"/>
          </w:tcPr>
          <w:p w14:paraId="2A4182C4" w14:textId="77777777" w:rsidR="00905FB5" w:rsidRDefault="00905FB5" w:rsidP="004417CC">
            <w:pPr>
              <w:ind w:left="39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Sangat rendah</w:t>
            </w:r>
          </w:p>
        </w:tc>
      </w:tr>
      <w:tr w:rsidR="00905FB5" w14:paraId="0EDF4D11" w14:textId="77777777" w:rsidTr="004417CC">
        <w:trPr>
          <w:trHeight w:val="227"/>
        </w:trPr>
        <w:tc>
          <w:tcPr>
            <w:tcW w:w="2268" w:type="dxa"/>
            <w:tcBorders>
              <w:right w:val="nil"/>
            </w:tcBorders>
            <w:vAlign w:val="center"/>
          </w:tcPr>
          <w:p w14:paraId="42676B28" w14:textId="77777777" w:rsidR="00905FB5" w:rsidRDefault="00905FB5" w:rsidP="004417CC">
            <w:pPr>
              <w:ind w:left="284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0,20 – 0,399</w:t>
            </w:r>
          </w:p>
        </w:tc>
        <w:tc>
          <w:tcPr>
            <w:tcW w:w="3119" w:type="dxa"/>
            <w:tcBorders>
              <w:left w:val="nil"/>
            </w:tcBorders>
          </w:tcPr>
          <w:p w14:paraId="1486B520" w14:textId="77777777" w:rsidR="00905FB5" w:rsidRDefault="00905FB5" w:rsidP="004417CC">
            <w:pPr>
              <w:ind w:left="39"/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Rendah</w:t>
            </w:r>
          </w:p>
        </w:tc>
      </w:tr>
      <w:tr w:rsidR="00905FB5" w14:paraId="529DFF30" w14:textId="77777777" w:rsidTr="004417CC">
        <w:trPr>
          <w:trHeight w:val="227"/>
        </w:trPr>
        <w:tc>
          <w:tcPr>
            <w:tcW w:w="2268" w:type="dxa"/>
            <w:tcBorders>
              <w:right w:val="nil"/>
            </w:tcBorders>
            <w:vAlign w:val="center"/>
          </w:tcPr>
          <w:p w14:paraId="279C40BF" w14:textId="77777777" w:rsidR="00905FB5" w:rsidRDefault="00905FB5" w:rsidP="004417CC">
            <w:pPr>
              <w:ind w:left="284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0,40 – 0,599</w:t>
            </w:r>
          </w:p>
        </w:tc>
        <w:tc>
          <w:tcPr>
            <w:tcW w:w="3119" w:type="dxa"/>
            <w:tcBorders>
              <w:left w:val="nil"/>
            </w:tcBorders>
          </w:tcPr>
          <w:p w14:paraId="306CA260" w14:textId="77777777" w:rsidR="00905FB5" w:rsidRDefault="00905FB5" w:rsidP="004417CC">
            <w:pPr>
              <w:ind w:left="39"/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Sedang</w:t>
            </w:r>
          </w:p>
        </w:tc>
      </w:tr>
      <w:tr w:rsidR="00905FB5" w14:paraId="363D4582" w14:textId="77777777" w:rsidTr="004417CC">
        <w:trPr>
          <w:trHeight w:val="227"/>
        </w:trPr>
        <w:tc>
          <w:tcPr>
            <w:tcW w:w="2268" w:type="dxa"/>
            <w:tcBorders>
              <w:right w:val="nil"/>
            </w:tcBorders>
            <w:vAlign w:val="center"/>
          </w:tcPr>
          <w:p w14:paraId="1253A4C4" w14:textId="77777777" w:rsidR="00905FB5" w:rsidRDefault="00905FB5" w:rsidP="004417CC">
            <w:pPr>
              <w:ind w:left="284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0,60 – 0,799</w:t>
            </w:r>
          </w:p>
        </w:tc>
        <w:tc>
          <w:tcPr>
            <w:tcW w:w="3119" w:type="dxa"/>
            <w:tcBorders>
              <w:left w:val="nil"/>
            </w:tcBorders>
          </w:tcPr>
          <w:p w14:paraId="2DE49BE4" w14:textId="77777777" w:rsidR="00905FB5" w:rsidRDefault="00905FB5" w:rsidP="004417CC">
            <w:pPr>
              <w:ind w:left="39"/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Kuat</w:t>
            </w:r>
          </w:p>
        </w:tc>
      </w:tr>
      <w:tr w:rsidR="00905FB5" w14:paraId="59573F9E" w14:textId="77777777" w:rsidTr="004417CC">
        <w:trPr>
          <w:trHeight w:val="227"/>
        </w:trPr>
        <w:tc>
          <w:tcPr>
            <w:tcW w:w="2268" w:type="dxa"/>
            <w:tcBorders>
              <w:right w:val="nil"/>
            </w:tcBorders>
            <w:vAlign w:val="center"/>
          </w:tcPr>
          <w:p w14:paraId="67A0513C" w14:textId="77777777" w:rsidR="00905FB5" w:rsidRDefault="00905FB5" w:rsidP="004417CC">
            <w:pPr>
              <w:ind w:left="284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0,80 – 1,00</w:t>
            </w:r>
          </w:p>
        </w:tc>
        <w:tc>
          <w:tcPr>
            <w:tcW w:w="3119" w:type="dxa"/>
            <w:tcBorders>
              <w:left w:val="nil"/>
            </w:tcBorders>
          </w:tcPr>
          <w:p w14:paraId="0C594FCE" w14:textId="77777777" w:rsidR="00905FB5" w:rsidRDefault="00905FB5" w:rsidP="004417CC">
            <w:pPr>
              <w:ind w:left="39"/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Sangat Kuat</w:t>
            </w:r>
          </w:p>
        </w:tc>
      </w:tr>
    </w:tbl>
    <w:p w14:paraId="2682C819" w14:textId="77777777" w:rsidR="00905FB5" w:rsidRDefault="00905FB5"/>
    <w:tbl>
      <w:tblPr>
        <w:tblW w:w="8363" w:type="dxa"/>
        <w:tblInd w:w="99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417"/>
        <w:gridCol w:w="4961"/>
      </w:tblGrid>
      <w:tr w:rsidR="00905FB5" w14:paraId="6DAAE571" w14:textId="77777777" w:rsidTr="004417CC">
        <w:tc>
          <w:tcPr>
            <w:tcW w:w="1985" w:type="dxa"/>
          </w:tcPr>
          <w:p w14:paraId="53036045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Hyperparameter</w:t>
            </w:r>
            <w:proofErr w:type="spellEnd"/>
          </w:p>
        </w:tc>
        <w:tc>
          <w:tcPr>
            <w:tcW w:w="1417" w:type="dxa"/>
          </w:tcPr>
          <w:p w14:paraId="43912270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4961" w:type="dxa"/>
          </w:tcPr>
          <w:p w14:paraId="31E307B1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Fungsi</w:t>
            </w:r>
          </w:p>
        </w:tc>
      </w:tr>
      <w:tr w:rsidR="00905FB5" w14:paraId="28C6A6D4" w14:textId="77777777" w:rsidTr="004417CC">
        <w:tc>
          <w:tcPr>
            <w:tcW w:w="1985" w:type="dxa"/>
          </w:tcPr>
          <w:p w14:paraId="50311F94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Min_child_weight</w:t>
            </w:r>
            <w:proofErr w:type="spellEnd"/>
          </w:p>
        </w:tc>
        <w:tc>
          <w:tcPr>
            <w:tcW w:w="1417" w:type="dxa"/>
          </w:tcPr>
          <w:p w14:paraId="0795509A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4, 6, 8</w:t>
            </w:r>
          </w:p>
        </w:tc>
        <w:tc>
          <w:tcPr>
            <w:tcW w:w="4961" w:type="dxa"/>
          </w:tcPr>
          <w:p w14:paraId="0641E3A3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Parameter ini mengontrol minimum jumlah sampel yang diperlukan di setiap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node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daun (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leaf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node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) dalam pohon. Mengatur nilai ini dapat membantu mencegah pembentukan cabang-cabang kecil yang terlalu spesifik, yang dapat mengurangi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overfitting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.</w:t>
            </w:r>
          </w:p>
        </w:tc>
      </w:tr>
      <w:tr w:rsidR="00905FB5" w14:paraId="73084DBC" w14:textId="77777777" w:rsidTr="004417CC">
        <w:tc>
          <w:tcPr>
            <w:tcW w:w="1985" w:type="dxa"/>
          </w:tcPr>
          <w:p w14:paraId="67FAD8D9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Max_depth</w:t>
            </w:r>
            <w:proofErr w:type="spellEnd"/>
          </w:p>
        </w:tc>
        <w:tc>
          <w:tcPr>
            <w:tcW w:w="1417" w:type="dxa"/>
          </w:tcPr>
          <w:p w14:paraId="1D5DE1C3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8, 10, 12</w:t>
            </w:r>
          </w:p>
        </w:tc>
        <w:tc>
          <w:tcPr>
            <w:tcW w:w="4961" w:type="dxa"/>
          </w:tcPr>
          <w:p w14:paraId="35AAC304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Parameter ini mengontrol kedalaman maksimum pohon yang akan dibangun. Ini membatasi kompleksitas model dan membantu menghindari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overfitting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. Semakin rendah nilai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max_depth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, semakin dangkal pohon dan semakin sederhana modelnya.</w:t>
            </w:r>
          </w:p>
        </w:tc>
      </w:tr>
      <w:tr w:rsidR="00905FB5" w14:paraId="07C3D60E" w14:textId="77777777" w:rsidTr="004417CC">
        <w:tc>
          <w:tcPr>
            <w:tcW w:w="1985" w:type="dxa"/>
          </w:tcPr>
          <w:p w14:paraId="209B2AF9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eta</w:t>
            </w:r>
          </w:p>
        </w:tc>
        <w:tc>
          <w:tcPr>
            <w:tcW w:w="1417" w:type="dxa"/>
          </w:tcPr>
          <w:p w14:paraId="7BCC47BA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0.3, 0.03</w:t>
            </w:r>
          </w:p>
        </w:tc>
        <w:tc>
          <w:tcPr>
            <w:tcW w:w="4961" w:type="dxa"/>
          </w:tcPr>
          <w:p w14:paraId="66E8B064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Eta adalah laju pembelajaran, yaitu seberapa besar kontribusi dari setiap pohon dalam model. Nilai yang lebih rendah membuat model belajar lebih lambat dan bisa membantu menghindari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overfitting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, sementara nilai yang lebih tinggi dapat memberikan model kecepatan pembelajaran yang lebih cepat.</w:t>
            </w:r>
          </w:p>
        </w:tc>
      </w:tr>
      <w:tr w:rsidR="00905FB5" w14:paraId="1BF99EFA" w14:textId="77777777" w:rsidTr="004417CC">
        <w:tc>
          <w:tcPr>
            <w:tcW w:w="1985" w:type="dxa"/>
          </w:tcPr>
          <w:p w14:paraId="7EF795DF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Learning_rate</w:t>
            </w:r>
            <w:proofErr w:type="spellEnd"/>
          </w:p>
        </w:tc>
        <w:tc>
          <w:tcPr>
            <w:tcW w:w="1417" w:type="dxa"/>
          </w:tcPr>
          <w:p w14:paraId="7B3D9474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0.01, 0.1</w:t>
            </w:r>
          </w:p>
        </w:tc>
        <w:tc>
          <w:tcPr>
            <w:tcW w:w="4961" w:type="dxa"/>
          </w:tcPr>
          <w:p w14:paraId="04751D81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Ini mirip dengan eta. Ini adalah faktor dengan nilai antara 0 dan 1 yang mengontrol seberapa besar kontribusi setiap </w:t>
            </w: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lastRenderedPageBreak/>
              <w:t xml:space="preserve">pohon ke dalam model. Semakin rendah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learning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rate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, semakin kecil pengaruh setiap pohon, dan pembelajaran model menjadi lebih lambat dan stabil.</w:t>
            </w:r>
          </w:p>
        </w:tc>
      </w:tr>
      <w:tr w:rsidR="00905FB5" w14:paraId="154714E3" w14:textId="77777777" w:rsidTr="004417CC">
        <w:tc>
          <w:tcPr>
            <w:tcW w:w="1985" w:type="dxa"/>
          </w:tcPr>
          <w:p w14:paraId="5254B0BD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lastRenderedPageBreak/>
              <w:t>reg_alpha</w:t>
            </w:r>
            <w:proofErr w:type="spellEnd"/>
          </w:p>
        </w:tc>
        <w:tc>
          <w:tcPr>
            <w:tcW w:w="1417" w:type="dxa"/>
          </w:tcPr>
          <w:p w14:paraId="160D2D49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0.1, 1, 3</w:t>
            </w:r>
          </w:p>
        </w:tc>
        <w:tc>
          <w:tcPr>
            <w:tcW w:w="4961" w:type="dxa"/>
          </w:tcPr>
          <w:p w14:paraId="128F0F35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Ini adalah parameter regularisasi yang mengendalikan kompleksitas model dengan menambahkan biaya terhadap berat koefisien dalam model. Ini membantu menghindari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overfitting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dengan membatasi bobot yang lebih besar.</w:t>
            </w:r>
          </w:p>
        </w:tc>
      </w:tr>
      <w:tr w:rsidR="00905FB5" w14:paraId="7AEAF357" w14:textId="77777777" w:rsidTr="004417CC">
        <w:tc>
          <w:tcPr>
            <w:tcW w:w="1985" w:type="dxa"/>
          </w:tcPr>
          <w:p w14:paraId="62F8F785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reg_lambda</w:t>
            </w:r>
            <w:proofErr w:type="spellEnd"/>
          </w:p>
        </w:tc>
        <w:tc>
          <w:tcPr>
            <w:tcW w:w="1417" w:type="dxa"/>
          </w:tcPr>
          <w:p w14:paraId="043C85DB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0.1, 1, 2, 3</w:t>
            </w:r>
          </w:p>
        </w:tc>
        <w:tc>
          <w:tcPr>
            <w:tcW w:w="4961" w:type="dxa"/>
          </w:tcPr>
          <w:p w14:paraId="20E7E28D" w14:textId="77777777" w:rsidR="00905FB5" w:rsidRDefault="00905FB5" w:rsidP="004417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20"/>
                <w:szCs w:val="20"/>
              </w:rPr>
            </w:pPr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Ini adalah parameter regularisasi tambahan yang mirip dengan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reg_alpha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, tetapi lebih fokus pada norma L2 dari bobot koefisien. Ini juga membantu dalam mengontrol kompleksitas model dan mengurangi risiko </w:t>
            </w:r>
            <w:proofErr w:type="spellStart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overfitting</w:t>
            </w:r>
            <w:proofErr w:type="spellEnd"/>
            <w:r>
              <w:rPr>
                <w:rFonts w:ascii="Times" w:eastAsia="Times" w:hAnsi="Times" w:cs="Times"/>
                <w:color w:val="000000"/>
                <w:sz w:val="20"/>
                <w:szCs w:val="20"/>
              </w:rPr>
              <w:t>.</w:t>
            </w:r>
          </w:p>
        </w:tc>
      </w:tr>
    </w:tbl>
    <w:p w14:paraId="734E98FE" w14:textId="77777777" w:rsidR="00905FB5" w:rsidRDefault="00905FB5"/>
    <w:tbl>
      <w:tblPr>
        <w:tblStyle w:val="TableGrid"/>
        <w:tblW w:w="5103" w:type="dxa"/>
        <w:tblInd w:w="212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409"/>
      </w:tblGrid>
      <w:tr w:rsidR="00905FB5" w14:paraId="090BD737" w14:textId="77777777" w:rsidTr="004417CC">
        <w:trPr>
          <w:trHeight w:val="227"/>
        </w:trPr>
        <w:tc>
          <w:tcPr>
            <w:tcW w:w="2694" w:type="dxa"/>
          </w:tcPr>
          <w:p w14:paraId="278FC0EA" w14:textId="77777777" w:rsidR="00905FB5" w:rsidRPr="00E642D1" w:rsidRDefault="00905FB5" w:rsidP="004417CC">
            <w:pPr>
              <w:pStyle w:val="Caption"/>
              <w:spacing w:before="0" w:after="0"/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 w:rsidRPr="00E642D1">
              <w:rPr>
                <w:b/>
                <w:bCs/>
                <w:i w:val="0"/>
                <w:iCs w:val="0"/>
                <w:sz w:val="20"/>
                <w:szCs w:val="20"/>
                <w:lang w:val="en-US"/>
              </w:rPr>
              <w:t>Hyperparameter</w:t>
            </w:r>
          </w:p>
        </w:tc>
        <w:tc>
          <w:tcPr>
            <w:tcW w:w="2409" w:type="dxa"/>
          </w:tcPr>
          <w:p w14:paraId="50E8AB98" w14:textId="77777777" w:rsidR="00905FB5" w:rsidRPr="00E642D1" w:rsidRDefault="00905FB5" w:rsidP="004417CC">
            <w:pPr>
              <w:pStyle w:val="Caption"/>
              <w:spacing w:before="0" w:after="0"/>
              <w:jc w:val="center"/>
              <w:rPr>
                <w:b/>
                <w:bCs/>
                <w:i w:val="0"/>
                <w:iCs w:val="0"/>
                <w:sz w:val="20"/>
                <w:szCs w:val="20"/>
                <w:lang w:val="en-US"/>
              </w:rPr>
            </w:pPr>
            <w:r w:rsidRPr="00E642D1">
              <w:rPr>
                <w:b/>
                <w:bCs/>
                <w:i w:val="0"/>
                <w:iCs w:val="0"/>
                <w:sz w:val="20"/>
                <w:szCs w:val="20"/>
                <w:lang w:val="en-US"/>
              </w:rPr>
              <w:t>Value</w:t>
            </w:r>
          </w:p>
        </w:tc>
      </w:tr>
      <w:tr w:rsidR="00905FB5" w14:paraId="2CED828D" w14:textId="77777777" w:rsidTr="004417CC">
        <w:trPr>
          <w:trHeight w:val="227"/>
        </w:trPr>
        <w:tc>
          <w:tcPr>
            <w:tcW w:w="2694" w:type="dxa"/>
          </w:tcPr>
          <w:p w14:paraId="264C0929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Eta</w:t>
            </w:r>
          </w:p>
        </w:tc>
        <w:tc>
          <w:tcPr>
            <w:tcW w:w="2409" w:type="dxa"/>
          </w:tcPr>
          <w:p w14:paraId="4E083BDE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0.3</w:t>
            </w:r>
          </w:p>
        </w:tc>
      </w:tr>
      <w:tr w:rsidR="00905FB5" w14:paraId="65DBE970" w14:textId="77777777" w:rsidTr="004417CC">
        <w:trPr>
          <w:trHeight w:val="227"/>
        </w:trPr>
        <w:tc>
          <w:tcPr>
            <w:tcW w:w="2694" w:type="dxa"/>
          </w:tcPr>
          <w:p w14:paraId="2EB618F7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>
              <w:rPr>
                <w:i w:val="0"/>
                <w:iCs w:val="0"/>
                <w:sz w:val="20"/>
                <w:szCs w:val="20"/>
                <w:lang w:val="en-US"/>
              </w:rPr>
              <w:t>Learning_rate</w:t>
            </w:r>
            <w:proofErr w:type="spellEnd"/>
          </w:p>
        </w:tc>
        <w:tc>
          <w:tcPr>
            <w:tcW w:w="2409" w:type="dxa"/>
          </w:tcPr>
          <w:p w14:paraId="1AE888FC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0.1</w:t>
            </w:r>
          </w:p>
        </w:tc>
      </w:tr>
      <w:tr w:rsidR="00905FB5" w14:paraId="7E16D2E6" w14:textId="77777777" w:rsidTr="004417CC">
        <w:trPr>
          <w:trHeight w:val="227"/>
        </w:trPr>
        <w:tc>
          <w:tcPr>
            <w:tcW w:w="2694" w:type="dxa"/>
          </w:tcPr>
          <w:p w14:paraId="409748E0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>
              <w:rPr>
                <w:i w:val="0"/>
                <w:iCs w:val="0"/>
                <w:sz w:val="20"/>
                <w:szCs w:val="20"/>
                <w:lang w:val="en-US"/>
              </w:rPr>
              <w:t>Max_depth</w:t>
            </w:r>
            <w:proofErr w:type="spellEnd"/>
          </w:p>
        </w:tc>
        <w:tc>
          <w:tcPr>
            <w:tcW w:w="2409" w:type="dxa"/>
          </w:tcPr>
          <w:p w14:paraId="06D39564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12</w:t>
            </w:r>
          </w:p>
        </w:tc>
      </w:tr>
      <w:tr w:rsidR="00905FB5" w14:paraId="3DE8C50B" w14:textId="77777777" w:rsidTr="004417CC">
        <w:trPr>
          <w:trHeight w:val="227"/>
        </w:trPr>
        <w:tc>
          <w:tcPr>
            <w:tcW w:w="2694" w:type="dxa"/>
          </w:tcPr>
          <w:p w14:paraId="4CA5BCE3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>
              <w:rPr>
                <w:i w:val="0"/>
                <w:iCs w:val="0"/>
                <w:sz w:val="20"/>
                <w:szCs w:val="20"/>
                <w:lang w:val="en-US"/>
              </w:rPr>
              <w:t>Min_child_weight</w:t>
            </w:r>
            <w:proofErr w:type="spellEnd"/>
          </w:p>
        </w:tc>
        <w:tc>
          <w:tcPr>
            <w:tcW w:w="2409" w:type="dxa"/>
          </w:tcPr>
          <w:p w14:paraId="0D4C29B5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8</w:t>
            </w:r>
          </w:p>
        </w:tc>
      </w:tr>
      <w:tr w:rsidR="00905FB5" w14:paraId="2C417F6D" w14:textId="77777777" w:rsidTr="004417CC">
        <w:trPr>
          <w:trHeight w:val="227"/>
        </w:trPr>
        <w:tc>
          <w:tcPr>
            <w:tcW w:w="2694" w:type="dxa"/>
          </w:tcPr>
          <w:p w14:paraId="25DC0AFE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>
              <w:rPr>
                <w:i w:val="0"/>
                <w:iCs w:val="0"/>
                <w:sz w:val="20"/>
                <w:szCs w:val="20"/>
                <w:lang w:val="en-US"/>
              </w:rPr>
              <w:t>Reg_alpha</w:t>
            </w:r>
            <w:proofErr w:type="spellEnd"/>
          </w:p>
        </w:tc>
        <w:tc>
          <w:tcPr>
            <w:tcW w:w="2409" w:type="dxa"/>
          </w:tcPr>
          <w:p w14:paraId="059E7D81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1</w:t>
            </w:r>
          </w:p>
        </w:tc>
      </w:tr>
      <w:tr w:rsidR="00905FB5" w14:paraId="3EC0506B" w14:textId="77777777" w:rsidTr="004417CC">
        <w:trPr>
          <w:trHeight w:val="227"/>
        </w:trPr>
        <w:tc>
          <w:tcPr>
            <w:tcW w:w="2694" w:type="dxa"/>
          </w:tcPr>
          <w:p w14:paraId="67C24FF6" w14:textId="77777777" w:rsidR="00905FB5" w:rsidRDefault="00905FB5" w:rsidP="004417CC">
            <w:pPr>
              <w:pStyle w:val="Caption"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proofErr w:type="spellStart"/>
            <w:r>
              <w:rPr>
                <w:i w:val="0"/>
                <w:iCs w:val="0"/>
                <w:sz w:val="20"/>
                <w:szCs w:val="20"/>
                <w:lang w:val="en-US"/>
              </w:rPr>
              <w:t>Reg_lambda</w:t>
            </w:r>
            <w:proofErr w:type="spellEnd"/>
          </w:p>
        </w:tc>
        <w:tc>
          <w:tcPr>
            <w:tcW w:w="2409" w:type="dxa"/>
          </w:tcPr>
          <w:p w14:paraId="248288A1" w14:textId="77777777" w:rsidR="00905FB5" w:rsidRDefault="00905FB5" w:rsidP="004417CC">
            <w:pPr>
              <w:pStyle w:val="Caption"/>
              <w:keepNext/>
              <w:spacing w:before="0" w:after="0"/>
              <w:jc w:val="both"/>
              <w:rPr>
                <w:i w:val="0"/>
                <w:iCs w:val="0"/>
                <w:sz w:val="20"/>
                <w:szCs w:val="20"/>
                <w:lang w:val="en-US"/>
              </w:rPr>
            </w:pPr>
            <w:r>
              <w:rPr>
                <w:i w:val="0"/>
                <w:iCs w:val="0"/>
                <w:sz w:val="20"/>
                <w:szCs w:val="20"/>
                <w:lang w:val="en-US"/>
              </w:rPr>
              <w:t>0.1</w:t>
            </w:r>
          </w:p>
        </w:tc>
      </w:tr>
    </w:tbl>
    <w:p w14:paraId="70CA9A56" w14:textId="77777777" w:rsidR="00905FB5" w:rsidRDefault="00905FB5"/>
    <w:sectPr w:rsidR="00905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A3"/>
    <w:rsid w:val="00862EA3"/>
    <w:rsid w:val="0090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ABB6C"/>
  <w15:chartTrackingRefBased/>
  <w15:docId w15:val="{2D82E11E-40C0-4490-81AE-F9C0AC193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FB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905FB5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905F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permana agung</dc:creator>
  <cp:keywords/>
  <dc:description/>
  <cp:lastModifiedBy>permana agung</cp:lastModifiedBy>
  <cp:revision>2</cp:revision>
  <dcterms:created xsi:type="dcterms:W3CDTF">2023-10-11T18:24:00Z</dcterms:created>
  <dcterms:modified xsi:type="dcterms:W3CDTF">2023-10-11T18:26:00Z</dcterms:modified>
</cp:coreProperties>
</file>